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 w:before="0"/>
        <w:jc w:val="center"/>
      </w:pPr>
      <w:r>
        <w:rPr>
          <w:rFonts w:ascii="Calibri Light" w:cs="Calibri Light" w:eastAsia="Calibri Light" w:hAnsi="Calibri Light"/>
          <w:b/>
          <w:bCs/>
          <w:color w:val="000000"/>
          <w:spacing w:val="80"/>
          <w:sz w:val="64"/>
          <w:szCs w:val="64"/>
        </w:rPr>
        <w:t xml:space="preserve">MEHMOOD A MAHAR</w:t>
      </w:r>
    </w:p>
    <w:p>
      <w:pPr>
        <w:spacing w:after="40" w:before="0"/>
        <w:jc w:val="center"/>
      </w:pPr>
      <w:r>
        <w:rPr>
          <w:rFonts w:ascii="Calibri" w:cs="Calibri" w:eastAsia="Calibri" w:hAnsi="Calibri"/>
          <w:color w:val="4A4A4A"/>
          <w:spacing w:val="20"/>
          <w:sz w:val="19"/>
          <w:szCs w:val="19"/>
        </w:rPr>
        <w:t xml:space="preserve">ACCA Qualified   |   Senior Finance Professional   |   MSc Accounting &amp; Finance (2027)</w:t>
      </w:r>
    </w:p>
    <w:p>
      <w:pPr>
        <w:pBdr>
          <w:bottom w:val="single" w:color="CCCCCC" w:sz="6" w:space="6"/>
        </w:pBdr>
        <w:spacing w:after="0" w:before="0"/>
        <w:jc w:val="center"/>
      </w:pPr>
      <w:r>
        <w:rPr>
          <w:rFonts w:ascii="Calibri" w:cs="Calibri" w:eastAsia="Calibri" w:hAnsi="Calibri"/>
          <w:color w:val="888888"/>
          <w:sz w:val="18"/>
          <w:szCs w:val="18"/>
        </w:rPr>
        <w:t xml:space="preserve">Huddersfield, UK</w:t>
      </w:r>
      <w:r>
        <w:rPr>
          <w:rFonts w:ascii="Calibri" w:cs="Calibri" w:eastAsia="Calibri" w:hAnsi="Calibri"/>
          <w:color w:val="BBBBBB"/>
          <w:sz w:val="18"/>
          <w:szCs w:val="18"/>
        </w:rPr>
        <w:t xml:space="preserve">   ·   </w:t>
      </w:r>
      <w:r>
        <w:rPr>
          <w:rFonts w:ascii="Calibri" w:cs="Calibri" w:eastAsia="Calibri" w:hAnsi="Calibri"/>
          <w:color w:val="4A4A4A"/>
          <w:sz w:val="18"/>
          <w:szCs w:val="18"/>
        </w:rPr>
        <w:t xml:space="preserve">mahmoodahmed1888@gmail.com</w:t>
      </w:r>
      <w:r>
        <w:rPr>
          <w:rFonts w:ascii="Calibri" w:cs="Calibri" w:eastAsia="Calibri" w:hAnsi="Calibri"/>
          <w:color w:val="BBBBBB"/>
          <w:sz w:val="18"/>
          <w:szCs w:val="18"/>
        </w:rPr>
        <w:t xml:space="preserve">   ·   </w:t>
      </w:r>
      <w:r>
        <w:rPr>
          <w:rFonts w:ascii="Calibri" w:cs="Calibri" w:eastAsia="Calibri" w:hAnsi="Calibri"/>
          <w:color w:val="888888"/>
          <w:sz w:val="18"/>
          <w:szCs w:val="18"/>
        </w:rPr>
        <w:t xml:space="preserve">07479968278</w:t>
      </w:r>
      <w:r>
        <w:rPr>
          <w:rFonts w:ascii="Calibri" w:cs="Calibri" w:eastAsia="Calibri" w:hAnsi="Calibri"/>
          <w:color w:val="BBBBBB"/>
          <w:sz w:val="18"/>
          <w:szCs w:val="18"/>
        </w:rPr>
        <w:t xml:space="preserve">   ·   </w:t>
      </w:r>
      <w:r>
        <w:rPr>
          <w:rFonts w:ascii="Calibri" w:cs="Calibri" w:eastAsia="Calibri" w:hAnsi="Calibri"/>
          <w:color w:val="4A4A4A"/>
          <w:sz w:val="18"/>
          <w:szCs w:val="18"/>
        </w:rPr>
        <w:t xml:space="preserve">mehmoodmahar.com</w:t>
      </w:r>
    </w:p>
    <w:p>
      <w:pPr>
        <w:spacing w:after="0" w:before="8"/>
      </w:pPr>
      <w:r>
        <w:t xml:space="preserve"/>
      </w:r>
    </w:p>
    <w:p>
      <w:pPr>
        <w:pBdr>
          <w:top w:val="single" w:color="CCCCCC" w:sz="4" w:space="4"/>
          <w:left w:val="none" w:color="FFFFFF" w:sz="0"/>
          <w:bottom w:val="none" w:color="FFFFFF" w:sz="0"/>
          <w:right w:val="none" w:color="FFFFFF" w:sz="0"/>
        </w:pBdr>
        <w:spacing w:after="60" w:before="220"/>
        <w:jc w:val="center"/>
      </w:pPr>
      <w:r>
        <w:rPr>
          <w:rFonts w:ascii="Calibri" w:cs="Calibri" w:eastAsia="Calibri" w:hAnsi="Calibri"/>
          <w:b/>
          <w:bCs/>
          <w:color w:val="000000"/>
          <w:spacing w:val="40"/>
          <w:sz w:val="20"/>
          <w:szCs w:val="20"/>
        </w:rPr>
        <w:t xml:space="preserve">PROFESSIONAL SUMMARY</w:t>
      </w:r>
    </w:p>
    <w:p>
      <w:pPr>
        <w:spacing w:after="0" w:before="50"/>
        <w:jc w:val="both"/>
      </w:pPr>
      <w:r>
        <w:rPr>
          <w:rFonts w:ascii="Calibri" w:cs="Calibri" w:eastAsia="Calibri" w:hAnsi="Calibri"/>
          <w:color w:val="1A1A1A"/>
          <w:sz w:val="19"/>
          <w:szCs w:val="19"/>
        </w:rPr>
        <w:t xml:space="preserve">ACCA-qualified finance professional with over five years of progressive experience across NHS Shared Business Services, public sector capital accounting, accountancy practice, and charity finance. Proven expertise in financial reporting, IFRS 16 lease accounting, fixed asset management, Oracle Fusion ERP, and month-end close — combined with advanced commercial analytical skills across financial modelling, corporate finance, FP&amp;A, and strategic advisory. Known for strengthening financial controls, improving audit readiness, and delivering clear, actionable insight to senior stakeholders across complex multi-entity environments.</w:t>
      </w:r>
    </w:p>
    <w:p>
      <w:pPr>
        <w:pBdr>
          <w:top w:val="single" w:color="CCCCCC" w:sz="4" w:space="4"/>
          <w:left w:val="none" w:color="FFFFFF" w:sz="0"/>
          <w:bottom w:val="none" w:color="FFFFFF" w:sz="0"/>
          <w:right w:val="none" w:color="FFFFFF" w:sz="0"/>
        </w:pBdr>
        <w:spacing w:after="60" w:before="220"/>
        <w:jc w:val="center"/>
      </w:pPr>
      <w:r>
        <w:rPr>
          <w:rFonts w:ascii="Calibri" w:cs="Calibri" w:eastAsia="Calibri" w:hAnsi="Calibri"/>
          <w:b/>
          <w:bCs/>
          <w:color w:val="000000"/>
          <w:spacing w:val="40"/>
          <w:sz w:val="20"/>
          <w:szCs w:val="20"/>
        </w:rPr>
        <w:t xml:space="preserve">PROFESSIONAL EXPERIENCE</w:t>
      </w:r>
    </w:p>
    <w:p>
      <w:pPr>
        <w:tabs>
          <w:tab w:val="right" w:pos="9026"/>
        </w:tabs>
        <w:spacing w:after="26" w:before="140"/>
      </w:pPr>
      <w:r>
        <w:rPr>
          <w:rFonts w:ascii="Calibri" w:cs="Calibri" w:eastAsia="Calibri" w:hAnsi="Calibri"/>
          <w:b/>
          <w:bCs/>
          <w:color w:val="000000"/>
          <w:sz w:val="20"/>
          <w:szCs w:val="20"/>
        </w:rPr>
        <w:t xml:space="preserve">Finance Volunteer</w:t>
      </w:r>
      <w:r>
        <w:rPr>
          <w:rFonts w:ascii="Calibri" w:cs="Calibri" w:eastAsia="Calibri" w:hAnsi="Calibri"/>
          <w:color w:val="999999"/>
          <w:sz w:val="20"/>
          <w:szCs w:val="20"/>
        </w:rPr>
        <w:t xml:space="preserve">  ·  </w:t>
      </w:r>
      <w:r>
        <w:rPr>
          <w:rFonts w:ascii="Calibri" w:cs="Calibri" w:eastAsia="Calibri" w:hAnsi="Calibri"/>
          <w:i/>
          <w:iCs/>
          <w:color w:val="4A4A4A"/>
          <w:sz w:val="20"/>
          <w:szCs w:val="20"/>
        </w:rPr>
        <w:t xml:space="preserve">Remap 2010 — Registered Charity No. 1137666</w:t>
      </w:r>
      <w:r>
        <w:rPr>
          <w:rFonts w:ascii="Calibri" w:cs="Calibri" w:eastAsia="Calibri" w:hAnsi="Calibri"/>
          <w:sz w:val="20"/>
          <w:szCs w:val="20"/>
        </w:rPr>
        <w:t xml:space="preserve">	</w:t>
      </w:r>
      <w:r>
        <w:rPr>
          <w:rFonts w:ascii="Calibri" w:cs="Calibri" w:eastAsia="Calibri" w:hAnsi="Calibri"/>
          <w:i/>
          <w:iCs/>
          <w:color w:val="888888"/>
          <w:sz w:val="19"/>
          <w:szCs w:val="19"/>
        </w:rPr>
        <w:t xml:space="preserve">Jul 2026 – Present</w:t>
      </w:r>
    </w:p>
    <w:p>
      <w:pPr>
        <w:pStyle w:val="ListParagraph"/>
        <w:numPr>
          <w:ilvl w:val="0"/>
          <w:numId w:val="2"/>
        </w:numPr>
        <w:spacing w:after="36" w:before="36"/>
      </w:pPr>
      <w:r>
        <w:rPr>
          <w:rFonts w:ascii="Calibri" w:cs="Calibri" w:eastAsia="Calibri" w:hAnsi="Calibri"/>
          <w:color w:val="1A1A1A"/>
          <w:sz w:val="19"/>
          <w:szCs w:val="19"/>
        </w:rPr>
        <w:t xml:space="preserve">Manage branch finances for a UK disability charity operating across 60+ national branches — maintaining income and expenditure records, preparing trustee financial reports, and ensuring full compliance with group financial policies.</w:t>
      </w:r>
    </w:p>
    <w:p>
      <w:pPr>
        <w:pStyle w:val="ListParagraph"/>
        <w:numPr>
          <w:ilvl w:val="0"/>
          <w:numId w:val="2"/>
        </w:numPr>
        <w:spacing w:after="36" w:before="36"/>
      </w:pPr>
      <w:r>
        <w:rPr>
          <w:rFonts w:ascii="Calibri" w:cs="Calibri" w:eastAsia="Calibri" w:hAnsi="Calibri"/>
          <w:color w:val="1A1A1A"/>
          <w:sz w:val="19"/>
          <w:szCs w:val="19"/>
        </w:rPr>
        <w:t xml:space="preserve">Act as an authorised bank signatory and provide independent financial oversight on spending decisions, supporting the board in allocating charitable funds effectively and transparently.</w:t>
      </w:r>
    </w:p>
    <w:p>
      <w:pPr>
        <w:tabs>
          <w:tab w:val="right" w:pos="9026"/>
        </w:tabs>
        <w:spacing w:after="26" w:before="140"/>
      </w:pPr>
      <w:r>
        <w:rPr>
          <w:rFonts w:ascii="Calibri" w:cs="Calibri" w:eastAsia="Calibri" w:hAnsi="Calibri"/>
          <w:b/>
          <w:bCs/>
          <w:color w:val="000000"/>
          <w:sz w:val="20"/>
          <w:szCs w:val="20"/>
        </w:rPr>
        <w:t xml:space="preserve">Accounting Controllership Project — Calderstone Group</w:t>
      </w:r>
      <w:r>
        <w:rPr>
          <w:rFonts w:ascii="Calibri" w:cs="Calibri" w:eastAsia="Calibri" w:hAnsi="Calibri"/>
          <w:color w:val="999999"/>
          <w:sz w:val="20"/>
          <w:szCs w:val="20"/>
        </w:rPr>
        <w:t xml:space="preserve">  ·  </w:t>
      </w:r>
      <w:r>
        <w:rPr>
          <w:rFonts w:ascii="Calibri" w:cs="Calibri" w:eastAsia="Calibri" w:hAnsi="Calibri"/>
          <w:i/>
          <w:iCs/>
          <w:color w:val="4A4A4A"/>
          <w:sz w:val="20"/>
          <w:szCs w:val="20"/>
        </w:rPr>
        <w:t xml:space="preserve">Independent Portfolio Project</w:t>
      </w:r>
      <w:r>
        <w:rPr>
          <w:rFonts w:ascii="Calibri" w:cs="Calibri" w:eastAsia="Calibri" w:hAnsi="Calibri"/>
          <w:sz w:val="20"/>
          <w:szCs w:val="20"/>
        </w:rPr>
        <w:t xml:space="preserve">	</w:t>
      </w:r>
      <w:r>
        <w:rPr>
          <w:rFonts w:ascii="Calibri" w:cs="Calibri" w:eastAsia="Calibri" w:hAnsi="Calibri"/>
          <w:i/>
          <w:iCs/>
          <w:color w:val="888888"/>
          <w:sz w:val="19"/>
          <w:szCs w:val="19"/>
        </w:rPr>
        <w:t xml:space="preserve">2025</w:t>
      </w:r>
    </w:p>
    <w:p>
      <w:pPr>
        <w:pStyle w:val="ListParagraph"/>
        <w:numPr>
          <w:ilvl w:val="0"/>
          <w:numId w:val="2"/>
        </w:numPr>
        <w:spacing w:after="36" w:before="36"/>
      </w:pPr>
      <w:r>
        <w:rPr>
          <w:rFonts w:ascii="Calibri" w:cs="Calibri" w:eastAsia="Calibri" w:hAnsi="Calibri"/>
          <w:color w:val="1A1A1A"/>
          <w:sz w:val="19"/>
          <w:szCs w:val="19"/>
        </w:rPr>
        <w:t xml:space="preserve">Designed and led a full-cycle finance function engagement for a simulated UK construction group from opening balance sheet through to statutory year-end — covering revenue recognition under IFRS 15 across 11 active contracts, IFRS 16 lease accounting, IFRS 9 credit loss provisioning, and IAS 37 decommissioning provisions.</w:t>
      </w:r>
    </w:p>
    <w:p>
      <w:pPr>
        <w:pStyle w:val="ListParagraph"/>
        <w:numPr>
          <w:ilvl w:val="0"/>
          <w:numId w:val="2"/>
        </w:numPr>
        <w:spacing w:after="36" w:before="36"/>
      </w:pPr>
      <w:r>
        <w:rPr>
          <w:rFonts w:ascii="Calibri" w:cs="Calibri" w:eastAsia="Calibri" w:hAnsi="Calibri"/>
          <w:color w:val="1A1A1A"/>
          <w:sz w:val="19"/>
          <w:szCs w:val="19"/>
        </w:rPr>
        <w:t xml:space="preserve">Produced a full suite of IFRS-compliant statutory financial statements, monthly management accounts with cost-centre P&amp;L reporting, a 13-week rolling cash forecast, and a pipeline-based annual budget — demonstrating end-to-end controllership capability across a complex, multi-standard environment.</w:t>
      </w:r>
    </w:p>
    <w:p>
      <w:pPr>
        <w:pStyle w:val="ListParagraph"/>
        <w:numPr>
          <w:ilvl w:val="0"/>
          <w:numId w:val="2"/>
        </w:numPr>
        <w:spacing w:after="36" w:before="36"/>
      </w:pPr>
      <w:r>
        <w:rPr>
          <w:rFonts w:ascii="Calibri" w:cs="Calibri" w:eastAsia="Calibri" w:hAnsi="Calibri"/>
          <w:color w:val="1A1A1A"/>
          <w:sz w:val="19"/>
          <w:szCs w:val="19"/>
        </w:rPr>
        <w:t xml:space="preserve">Executed the complete month-end close process including trial balance reconciliation, accruals and prepayments, VAT return, CIS300 subcontractor return, and PAYE payroll, with integrity checks built throughout to identify and resolve posting anomalies.</w:t>
      </w:r>
    </w:p>
    <w:p>
      <w:pPr>
        <w:tabs>
          <w:tab w:val="right" w:pos="9026"/>
        </w:tabs>
        <w:spacing w:after="26" w:before="140"/>
      </w:pPr>
      <w:r>
        <w:rPr>
          <w:rFonts w:ascii="Calibri" w:cs="Calibri" w:eastAsia="Calibri" w:hAnsi="Calibri"/>
          <w:b/>
          <w:bCs/>
          <w:color w:val="000000"/>
          <w:sz w:val="20"/>
          <w:szCs w:val="20"/>
        </w:rPr>
        <w:t xml:space="preserve">Corporate Finance &amp; LBO Project — Apex Capital Partners</w:t>
      </w:r>
      <w:r>
        <w:rPr>
          <w:rFonts w:ascii="Calibri" w:cs="Calibri" w:eastAsia="Calibri" w:hAnsi="Calibri"/>
          <w:color w:val="999999"/>
          <w:sz w:val="20"/>
          <w:szCs w:val="20"/>
        </w:rPr>
        <w:t xml:space="preserve">  ·  </w:t>
      </w:r>
      <w:r>
        <w:rPr>
          <w:rFonts w:ascii="Calibri" w:cs="Calibri" w:eastAsia="Calibri" w:hAnsi="Calibri"/>
          <w:i/>
          <w:iCs/>
          <w:color w:val="4A4A4A"/>
          <w:sz w:val="20"/>
          <w:szCs w:val="20"/>
        </w:rPr>
        <w:t xml:space="preserve">Independent Portfolio Project</w:t>
      </w:r>
      <w:r>
        <w:rPr>
          <w:rFonts w:ascii="Calibri" w:cs="Calibri" w:eastAsia="Calibri" w:hAnsi="Calibri"/>
          <w:sz w:val="20"/>
          <w:szCs w:val="20"/>
        </w:rPr>
        <w:t xml:space="preserve">	</w:t>
      </w:r>
      <w:r>
        <w:rPr>
          <w:rFonts w:ascii="Calibri" w:cs="Calibri" w:eastAsia="Calibri" w:hAnsi="Calibri"/>
          <w:i/>
          <w:iCs/>
          <w:color w:val="888888"/>
          <w:sz w:val="19"/>
          <w:szCs w:val="19"/>
        </w:rPr>
        <w:t xml:space="preserve">2025 – 2026</w:t>
      </w:r>
    </w:p>
    <w:p>
      <w:pPr>
        <w:pStyle w:val="ListParagraph"/>
        <w:numPr>
          <w:ilvl w:val="0"/>
          <w:numId w:val="2"/>
        </w:numPr>
        <w:spacing w:after="36" w:before="36"/>
      </w:pPr>
      <w:r>
        <w:rPr>
          <w:rFonts w:ascii="Calibri" w:cs="Calibri" w:eastAsia="Calibri" w:hAnsi="Calibri"/>
          <w:color w:val="1A1A1A"/>
          <w:sz w:val="19"/>
          <w:szCs w:val="19"/>
        </w:rPr>
        <w:t xml:space="preserve">Built a fully integrated leveraged buyout model for a £120m acquisition of a UK SaaS compliance training business — incorporating a dynamic three-statement financial model, DCF valuation with WACC, and a three-tranche debt structure with PIK mechanics, cash sweep waterfall, and covenant monitoring, with model integrity validated through automated testing.</w:t>
      </w:r>
    </w:p>
    <w:p>
      <w:pPr>
        <w:pStyle w:val="ListParagraph"/>
        <w:numPr>
          <w:ilvl w:val="0"/>
          <w:numId w:val="2"/>
        </w:numPr>
        <w:spacing w:after="36" w:before="36"/>
      </w:pPr>
      <w:r>
        <w:rPr>
          <w:rFonts w:ascii="Calibri" w:cs="Calibri" w:eastAsia="Calibri" w:hAnsi="Calibri"/>
          <w:color w:val="1A1A1A"/>
          <w:sz w:val="19"/>
          <w:szCs w:val="19"/>
        </w:rPr>
        <w:t xml:space="preserve">Delivered equity returns analysis across nine exit scenarios, IFRS 3 purchase price allocation with goodwill and intangible fair value adjustments, and a driver-based FP&amp;A model with logo-level revenue build, grade-level headcount planning, and working capital mechanics.</w:t>
      </w:r>
    </w:p>
    <w:p>
      <w:pPr>
        <w:pStyle w:val="ListParagraph"/>
        <w:numPr>
          <w:ilvl w:val="0"/>
          <w:numId w:val="2"/>
        </w:numPr>
        <w:spacing w:after="36" w:before="36"/>
      </w:pPr>
      <w:r>
        <w:rPr>
          <w:rFonts w:ascii="Calibri" w:cs="Calibri" w:eastAsia="Calibri" w:hAnsi="Calibri"/>
          <w:color w:val="1A1A1A"/>
          <w:sz w:val="19"/>
          <w:szCs w:val="19"/>
        </w:rPr>
        <w:t xml:space="preserve">Produced a two-page investment committee memorandum presenting the acquisition rationale, financial projections, key risks, and conditions to proceeding — replicating the standard of analysis expected in Big Four transaction services and private equity contexts.</w:t>
      </w:r>
    </w:p>
    <w:p>
      <w:pPr>
        <w:tabs>
          <w:tab w:val="right" w:pos="9026"/>
        </w:tabs>
        <w:spacing w:after="26" w:before="140"/>
      </w:pPr>
      <w:r>
        <w:rPr>
          <w:rFonts w:ascii="Calibri" w:cs="Calibri" w:eastAsia="Calibri" w:hAnsi="Calibri"/>
          <w:b/>
          <w:bCs/>
          <w:color w:val="000000"/>
          <w:sz w:val="20"/>
          <w:szCs w:val="20"/>
        </w:rPr>
        <w:t xml:space="preserve">Strategic Advisory — Gulf HealthTech, NovaCure Health Group PJSC</w:t>
      </w:r>
      <w:r>
        <w:rPr>
          <w:rFonts w:ascii="Calibri" w:cs="Calibri" w:eastAsia="Calibri" w:hAnsi="Calibri"/>
          <w:color w:val="999999"/>
          <w:sz w:val="20"/>
          <w:szCs w:val="20"/>
        </w:rPr>
        <w:t xml:space="preserve">  ·  </w:t>
      </w:r>
      <w:r>
        <w:rPr>
          <w:rFonts w:ascii="Calibri" w:cs="Calibri" w:eastAsia="Calibri" w:hAnsi="Calibri"/>
          <w:i/>
          <w:iCs/>
          <w:color w:val="4A4A4A"/>
          <w:sz w:val="20"/>
          <w:szCs w:val="20"/>
        </w:rPr>
        <w:t xml:space="preserve">Independent Portfolio Project</w:t>
      </w:r>
      <w:r>
        <w:rPr>
          <w:rFonts w:ascii="Calibri" w:cs="Calibri" w:eastAsia="Calibri" w:hAnsi="Calibri"/>
          <w:sz w:val="20"/>
          <w:szCs w:val="20"/>
        </w:rPr>
        <w:t xml:space="preserve">	</w:t>
      </w:r>
      <w:r>
        <w:rPr>
          <w:rFonts w:ascii="Calibri" w:cs="Calibri" w:eastAsia="Calibri" w:hAnsi="Calibri"/>
          <w:i/>
          <w:iCs/>
          <w:color w:val="888888"/>
          <w:sz w:val="19"/>
          <w:szCs w:val="19"/>
        </w:rPr>
        <w:t xml:space="preserve">2026</w:t>
      </w:r>
    </w:p>
    <w:p>
      <w:pPr>
        <w:pStyle w:val="ListParagraph"/>
        <w:numPr>
          <w:ilvl w:val="0"/>
          <w:numId w:val="2"/>
        </w:numPr>
        <w:spacing w:after="36" w:before="36"/>
      </w:pPr>
      <w:r>
        <w:rPr>
          <w:rFonts w:ascii="Calibri" w:cs="Calibri" w:eastAsia="Calibri" w:hAnsi="Calibri"/>
          <w:color w:val="1A1A1A"/>
          <w:sz w:val="19"/>
          <w:szCs w:val="19"/>
        </w:rPr>
        <w:t xml:space="preserve">Delivered a board-level advisory engagement on Burjeel Holdings PLC (ADX: BURJEEL, AED 4.5bn revenue) — conducting forensic financial analysis across five audited years, producing an EBITDA quality of earnings bridge, and identifying a material receivables risk representing 11.7% of annual revenue with a modelled AED 240–280m cash release opportunity.</w:t>
      </w:r>
    </w:p>
    <w:p>
      <w:pPr>
        <w:pStyle w:val="ListParagraph"/>
        <w:numPr>
          <w:ilvl w:val="0"/>
          <w:numId w:val="2"/>
        </w:numPr>
        <w:spacing w:after="36" w:before="36"/>
      </w:pPr>
      <w:r>
        <w:rPr>
          <w:rFonts w:ascii="Calibri" w:cs="Calibri" w:eastAsia="Calibri" w:hAnsi="Calibri"/>
          <w:color w:val="1A1A1A"/>
          <w:sz w:val="19"/>
          <w:szCs w:val="19"/>
        </w:rPr>
        <w:t xml:space="preserve">Executed comparable company and precedent transaction valuation across Gulf and MENA healthcare peers, full credit analysis including leverage, liquidity, and debt serviceability ratios, and a corporate governance assessment against the UAE SCA Corporate Governance Code 2020.</w:t>
      </w:r>
    </w:p>
    <w:p>
      <w:pPr>
        <w:pStyle w:val="ListParagraph"/>
        <w:numPr>
          <w:ilvl w:val="0"/>
          <w:numId w:val="2"/>
        </w:numPr>
        <w:spacing w:after="36" w:before="36"/>
      </w:pPr>
      <w:r>
        <w:rPr>
          <w:rFonts w:ascii="Calibri" w:cs="Calibri" w:eastAsia="Calibri" w:hAnsi="Calibri"/>
          <w:color w:val="1A1A1A"/>
          <w:sz w:val="19"/>
          <w:szCs w:val="19"/>
        </w:rPr>
        <w:t xml:space="preserve">Designed an ESG gap assessment against IFRS S1/S2 and TCFD requirements, a four-pillar CSR framework aligned to the UAE National CSR Programme including Emiratisation planning, and a change management plan using the Kotter 8-Step Model and ADKAR framework.</w:t>
      </w:r>
    </w:p>
    <w:p>
      <w:pPr>
        <w:tabs>
          <w:tab w:val="right" w:pos="9026"/>
        </w:tabs>
        <w:spacing w:after="26" w:before="140"/>
      </w:pPr>
      <w:r>
        <w:rPr>
          <w:rFonts w:ascii="Calibri" w:cs="Calibri" w:eastAsia="Calibri" w:hAnsi="Calibri"/>
          <w:b/>
          <w:bCs/>
          <w:color w:val="000000"/>
          <w:sz w:val="20"/>
          <w:szCs w:val="20"/>
        </w:rPr>
        <w:t xml:space="preserve">Senior Capital Accounting Analyst</w:t>
      </w:r>
      <w:r>
        <w:rPr>
          <w:rFonts w:ascii="Calibri" w:cs="Calibri" w:eastAsia="Calibri" w:hAnsi="Calibri"/>
          <w:color w:val="999999"/>
          <w:sz w:val="20"/>
          <w:szCs w:val="20"/>
        </w:rPr>
        <w:t xml:space="preserve">  ·  </w:t>
      </w:r>
      <w:r>
        <w:rPr>
          <w:rFonts w:ascii="Calibri" w:cs="Calibri" w:eastAsia="Calibri" w:hAnsi="Calibri"/>
          <w:i/>
          <w:iCs/>
          <w:color w:val="4A4A4A"/>
          <w:sz w:val="20"/>
          <w:szCs w:val="20"/>
        </w:rPr>
        <w:t xml:space="preserve">NHS Shared Business Services</w:t>
      </w:r>
      <w:r>
        <w:rPr>
          <w:rFonts w:ascii="Calibri" w:cs="Calibri" w:eastAsia="Calibri" w:hAnsi="Calibri"/>
          <w:sz w:val="20"/>
          <w:szCs w:val="20"/>
        </w:rPr>
        <w:t xml:space="preserve">	</w:t>
      </w:r>
      <w:r>
        <w:rPr>
          <w:rFonts w:ascii="Calibri" w:cs="Calibri" w:eastAsia="Calibri" w:hAnsi="Calibri"/>
          <w:i/>
          <w:iCs/>
          <w:color w:val="888888"/>
          <w:sz w:val="19"/>
          <w:szCs w:val="19"/>
        </w:rPr>
        <w:t xml:space="preserve">Aug 2023 – May 2026</w:t>
      </w:r>
    </w:p>
    <w:p>
      <w:pPr>
        <w:pStyle w:val="ListParagraph"/>
        <w:numPr>
          <w:ilvl w:val="0"/>
          <w:numId w:val="2"/>
        </w:numPr>
        <w:spacing w:after="36" w:before="36"/>
      </w:pPr>
      <w:r>
        <w:rPr>
          <w:rFonts w:ascii="Calibri" w:cs="Calibri" w:eastAsia="Calibri" w:hAnsi="Calibri"/>
          <w:color w:val="1A1A1A"/>
          <w:sz w:val="19"/>
          <w:szCs w:val="19"/>
        </w:rPr>
        <w:t xml:space="preserve">Progressed from Capital Accounting Assistant to Senior Analyst within two years — taking ownership of fixed asset accounting and IFRS 16 lease accounting for a portfolio of NHS Trusts, managing registers in FMIS, processing lease journals in Oracle Fusion ERP, and producing reconciliation packs that directly supported external audit sign-off.</w:t>
      </w:r>
    </w:p>
    <w:p>
      <w:pPr>
        <w:pStyle w:val="ListParagraph"/>
        <w:numPr>
          <w:ilvl w:val="0"/>
          <w:numId w:val="2"/>
        </w:numPr>
        <w:spacing w:after="36" w:before="36"/>
      </w:pPr>
      <w:r>
        <w:rPr>
          <w:rFonts w:ascii="Calibri" w:cs="Calibri" w:eastAsia="Calibri" w:hAnsi="Calibri"/>
          <w:color w:val="1A1A1A"/>
          <w:sz w:val="19"/>
          <w:szCs w:val="19"/>
        </w:rPr>
        <w:t xml:space="preserve">Served as the primary technical escalation point for complex accounting queries from ICBs, NHS Providers, and NHS England, maintaining client confidence across a high-volume shared services environment supporting multiple Trusts simultaneously.</w:t>
      </w:r>
    </w:p>
    <w:p>
      <w:pPr>
        <w:pStyle w:val="ListParagraph"/>
        <w:numPr>
          <w:ilvl w:val="0"/>
          <w:numId w:val="2"/>
        </w:numPr>
        <w:spacing w:after="36" w:before="36"/>
      </w:pPr>
      <w:r>
        <w:rPr>
          <w:rFonts w:ascii="Calibri" w:cs="Calibri" w:eastAsia="Calibri" w:hAnsi="Calibri"/>
          <w:color w:val="1A1A1A"/>
          <w:sz w:val="19"/>
          <w:szCs w:val="19"/>
        </w:rPr>
        <w:t xml:space="preserve">Designed and implemented SOPs that standardised capital accounting processes and materially improved reporting consistency; mentored and trained junior analysts to build team capability and support knowledge transfer.</w:t>
      </w:r>
    </w:p>
    <w:p>
      <w:pPr>
        <w:pStyle w:val="ListParagraph"/>
        <w:numPr>
          <w:ilvl w:val="0"/>
          <w:numId w:val="2"/>
        </w:numPr>
        <w:spacing w:after="36" w:before="36"/>
      </w:pPr>
      <w:r>
        <w:rPr>
          <w:rFonts w:ascii="Calibri" w:cs="Calibri" w:eastAsia="Calibri" w:hAnsi="Calibri"/>
          <w:color w:val="1A1A1A"/>
          <w:sz w:val="19"/>
          <w:szCs w:val="19"/>
        </w:rPr>
        <w:t xml:space="preserve">Collaborated directly with external auditors to maintain compliance with accounting standards, strengthen internal controls, and facilitate efficient year-end audit processes.</w:t>
      </w:r>
    </w:p>
    <w:p>
      <w:pPr>
        <w:tabs>
          <w:tab w:val="right" w:pos="9026"/>
        </w:tabs>
        <w:spacing w:after="26" w:before="140"/>
      </w:pPr>
      <w:r>
        <w:rPr>
          <w:rFonts w:ascii="Calibri" w:cs="Calibri" w:eastAsia="Calibri" w:hAnsi="Calibri"/>
          <w:b/>
          <w:bCs/>
          <w:color w:val="000000"/>
          <w:sz w:val="20"/>
          <w:szCs w:val="20"/>
        </w:rPr>
        <w:t xml:space="preserve">Payroll Officer</w:t>
      </w:r>
      <w:r>
        <w:rPr>
          <w:rFonts w:ascii="Calibri" w:cs="Calibri" w:eastAsia="Calibri" w:hAnsi="Calibri"/>
          <w:color w:val="999999"/>
          <w:sz w:val="20"/>
          <w:szCs w:val="20"/>
        </w:rPr>
        <w:t xml:space="preserve">  ·  </w:t>
      </w:r>
      <w:r>
        <w:rPr>
          <w:rFonts w:ascii="Calibri" w:cs="Calibri" w:eastAsia="Calibri" w:hAnsi="Calibri"/>
          <w:i/>
          <w:iCs/>
          <w:color w:val="4A4A4A"/>
          <w:sz w:val="20"/>
          <w:szCs w:val="20"/>
        </w:rPr>
        <w:t xml:space="preserve">NHS Shared Business Services</w:t>
      </w:r>
      <w:r>
        <w:rPr>
          <w:rFonts w:ascii="Calibri" w:cs="Calibri" w:eastAsia="Calibri" w:hAnsi="Calibri"/>
          <w:sz w:val="20"/>
          <w:szCs w:val="20"/>
        </w:rPr>
        <w:t xml:space="preserve">	</w:t>
      </w:r>
      <w:r>
        <w:rPr>
          <w:rFonts w:ascii="Calibri" w:cs="Calibri" w:eastAsia="Calibri" w:hAnsi="Calibri"/>
          <w:i/>
          <w:iCs/>
          <w:color w:val="888888"/>
          <w:sz w:val="19"/>
          <w:szCs w:val="19"/>
        </w:rPr>
        <w:t xml:space="preserve">Sep 2022 – Aug 2023</w:t>
      </w:r>
    </w:p>
    <w:p>
      <w:pPr>
        <w:pStyle w:val="ListParagraph"/>
        <w:numPr>
          <w:ilvl w:val="0"/>
          <w:numId w:val="2"/>
        </w:numPr>
        <w:spacing w:after="36" w:before="36"/>
      </w:pPr>
      <w:r>
        <w:rPr>
          <w:rFonts w:ascii="Calibri" w:cs="Calibri" w:eastAsia="Calibri" w:hAnsi="Calibri"/>
          <w:color w:val="1A1A1A"/>
          <w:sz w:val="19"/>
          <w:szCs w:val="19"/>
        </w:rPr>
        <w:t xml:space="preserve">Processed end-to-end payroll for multiple NHS Trusts covering PAYE, NIC, auto-enrolment pensions, and statutory leave elements — ensuring full regulatory compliance and timely payment in a high-volume shared services environment.</w:t>
      </w:r>
    </w:p>
    <w:p>
      <w:pPr>
        <w:pStyle w:val="ListParagraph"/>
        <w:numPr>
          <w:ilvl w:val="0"/>
          <w:numId w:val="2"/>
        </w:numPr>
        <w:spacing w:after="36" w:before="36"/>
      </w:pPr>
      <w:r>
        <w:rPr>
          <w:rFonts w:ascii="Calibri" w:cs="Calibri" w:eastAsia="Calibri" w:hAnsi="Calibri"/>
          <w:color w:val="1A1A1A"/>
          <w:sz w:val="19"/>
          <w:szCs w:val="19"/>
        </w:rPr>
        <w:t xml:space="preserve">Administered complex payroll elements including court orders, maternity pay, and leavers; implemented workflow improvements that reduced processing errors and improved reporting accuracy across Trust clients.</w:t>
      </w:r>
    </w:p>
    <w:p>
      <w:pPr>
        <w:pStyle w:val="ListParagraph"/>
        <w:numPr>
          <w:ilvl w:val="0"/>
          <w:numId w:val="2"/>
        </w:numPr>
        <w:spacing w:after="36" w:before="36"/>
      </w:pPr>
      <w:r>
        <w:rPr>
          <w:rFonts w:ascii="Calibri" w:cs="Calibri" w:eastAsia="Calibri" w:hAnsi="Calibri"/>
          <w:color w:val="1A1A1A"/>
          <w:sz w:val="19"/>
          <w:szCs w:val="19"/>
        </w:rPr>
        <w:t xml:space="preserve">Acted as central point of contact for payroll queries from clients and employees, resolving issues professionally and maintaining high service standards across multiple NHS relationships.</w:t>
      </w:r>
    </w:p>
    <w:p>
      <w:pPr>
        <w:tabs>
          <w:tab w:val="right" w:pos="9026"/>
        </w:tabs>
        <w:spacing w:after="26" w:before="140"/>
      </w:pPr>
      <w:r>
        <w:rPr>
          <w:rFonts w:ascii="Calibri" w:cs="Calibri" w:eastAsia="Calibri" w:hAnsi="Calibri"/>
          <w:b/>
          <w:bCs/>
          <w:color w:val="000000"/>
          <w:sz w:val="20"/>
          <w:szCs w:val="20"/>
        </w:rPr>
        <w:t xml:space="preserve">Account Assistant</w:t>
      </w:r>
      <w:r>
        <w:rPr>
          <w:rFonts w:ascii="Calibri" w:cs="Calibri" w:eastAsia="Calibri" w:hAnsi="Calibri"/>
          <w:color w:val="999999"/>
          <w:sz w:val="20"/>
          <w:szCs w:val="20"/>
        </w:rPr>
        <w:t xml:space="preserve">  ·  </w:t>
      </w:r>
      <w:r>
        <w:rPr>
          <w:rFonts w:ascii="Calibri" w:cs="Calibri" w:eastAsia="Calibri" w:hAnsi="Calibri"/>
          <w:i/>
          <w:iCs/>
          <w:color w:val="4A4A4A"/>
          <w:sz w:val="20"/>
          <w:szCs w:val="20"/>
        </w:rPr>
        <w:t xml:space="preserve">The Tax Solutions</w:t>
      </w:r>
      <w:r>
        <w:rPr>
          <w:rFonts w:ascii="Calibri" w:cs="Calibri" w:eastAsia="Calibri" w:hAnsi="Calibri"/>
          <w:sz w:val="20"/>
          <w:szCs w:val="20"/>
        </w:rPr>
        <w:t xml:space="preserve">	</w:t>
      </w:r>
      <w:r>
        <w:rPr>
          <w:rFonts w:ascii="Calibri" w:cs="Calibri" w:eastAsia="Calibri" w:hAnsi="Calibri"/>
          <w:i/>
          <w:iCs/>
          <w:color w:val="888888"/>
          <w:sz w:val="19"/>
          <w:szCs w:val="19"/>
        </w:rPr>
        <w:t xml:space="preserve">Jan 2021 – Feb 2022</w:t>
      </w:r>
    </w:p>
    <w:p>
      <w:pPr>
        <w:pStyle w:val="ListParagraph"/>
        <w:numPr>
          <w:ilvl w:val="0"/>
          <w:numId w:val="2"/>
        </w:numPr>
        <w:spacing w:after="36" w:before="36"/>
      </w:pPr>
      <w:r>
        <w:rPr>
          <w:rFonts w:ascii="Calibri" w:cs="Calibri" w:eastAsia="Calibri" w:hAnsi="Calibri"/>
          <w:color w:val="1A1A1A"/>
          <w:sz w:val="19"/>
          <w:szCs w:val="19"/>
        </w:rPr>
        <w:t xml:space="preserve">Prepared statutory accounts, self-assessment returns, corporation tax computations, and VAT filings for a mixed portfolio of sole traders and limited companies, building a strong foundation in tax compliance and financial reporting.</w:t>
      </w:r>
    </w:p>
    <w:p>
      <w:pPr>
        <w:pStyle w:val="ListParagraph"/>
        <w:numPr>
          <w:ilvl w:val="0"/>
          <w:numId w:val="2"/>
        </w:numPr>
        <w:spacing w:after="36" w:before="36"/>
      </w:pPr>
      <w:r>
        <w:rPr>
          <w:rFonts w:ascii="Calibri" w:cs="Calibri" w:eastAsia="Calibri" w:hAnsi="Calibri"/>
          <w:color w:val="1A1A1A"/>
          <w:sz w:val="19"/>
          <w:szCs w:val="19"/>
        </w:rPr>
        <w:t xml:space="preserve">Provided clear guidance on tax obligations and accounting requirements to clients, developing strong advisory communication skills in a fast-paced practice environment.</w:t>
      </w:r>
    </w:p>
    <w:p>
      <w:pPr>
        <w:pBdr>
          <w:top w:val="single" w:color="CCCCCC" w:sz="4" w:space="4"/>
          <w:left w:val="none" w:color="FFFFFF" w:sz="0"/>
          <w:bottom w:val="none" w:color="FFFFFF" w:sz="0"/>
          <w:right w:val="none" w:color="FFFFFF" w:sz="0"/>
        </w:pBdr>
        <w:spacing w:after="60" w:before="220"/>
        <w:jc w:val="center"/>
      </w:pPr>
      <w:r>
        <w:rPr>
          <w:rFonts w:ascii="Calibri" w:cs="Calibri" w:eastAsia="Calibri" w:hAnsi="Calibri"/>
          <w:b/>
          <w:bCs/>
          <w:color w:val="000000"/>
          <w:spacing w:val="40"/>
          <w:sz w:val="20"/>
          <w:szCs w:val="20"/>
        </w:rPr>
        <w:t xml:space="preserve">EDUCATION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900"/>
        <w:gridCol w:w="3126"/>
      </w:tblGrid>
      <w:tr>
        <w:tc>
          <w:tcPr>
            <w:tcW w:type="dxa" w:w="5900"/>
            <w:tcBorders>
              <w:top w:val="none" w:color="FFFFFF" w:sz="0"/>
              <w:left w:val="none" w:color="FFFFFF" w:sz="0"/>
              <w:bottom w:val="none" w:color="FFFFFF" w:sz="0"/>
              <w:right w:val="none" w:color="FFFFFF" w:sz="0"/>
            </w:tcBorders>
            <w:shd w:fill="FFFFFF" w:val="clear"/>
            <w:tcMar>
              <w:top w:type="dxa" w:w="50"/>
              <w:left w:type="dxa" w:w="80"/>
              <w:bottom w:type="dxa" w:w="50"/>
              <w:right w:type="dxa" w:w="80"/>
            </w:tcMar>
          </w:tcPr>
          <w:p>
            <w:r>
              <w:rPr>
                <w:rFonts w:ascii="Calibri" w:cs="Calibri" w:eastAsia="Calibri" w:hAnsi="Calibri"/>
                <w:i w:val="false"/>
                <w:iCs w:val="false"/>
                <w:color w:val="1A1A1A"/>
                <w:sz w:val="18"/>
                <w:szCs w:val="18"/>
              </w:rPr>
              <w:t xml:space="preserve">MSc Accounting &amp; Finance — University of Huddersfield</w:t>
            </w:r>
          </w:p>
        </w:tc>
        <w:tc>
          <w:tcPr>
            <w:tcW w:type="dxa" w:w="3126"/>
            <w:tcBorders>
              <w:top w:val="none" w:color="FFFFFF" w:sz="0"/>
              <w:left w:val="none" w:color="FFFFFF" w:sz="0"/>
              <w:bottom w:val="none" w:color="FFFFFF" w:sz="0"/>
              <w:right w:val="none" w:color="FFFFFF" w:sz="0"/>
            </w:tcBorders>
            <w:shd w:fill="FFFFFF" w:val="clear"/>
            <w:tcMar>
              <w:top w:type="dxa" w:w="50"/>
              <w:left w:type="dxa" w:w="80"/>
              <w:bottom w:type="dxa" w:w="50"/>
              <w:right w:type="dxa" w:w="80"/>
            </w:tcMar>
          </w:tcPr>
          <w:p>
            <w:r>
              <w:rPr>
                <w:rFonts w:ascii="Calibri" w:cs="Calibri" w:eastAsia="Calibri" w:hAnsi="Calibri"/>
                <w:i/>
                <w:iCs/>
                <w:color w:val="999999"/>
                <w:sz w:val="18"/>
                <w:szCs w:val="18"/>
              </w:rPr>
              <w:t xml:space="preserve">May 2026 – May 2027  (In Progress)</w:t>
            </w:r>
          </w:p>
        </w:tc>
      </w:tr>
      <w:tr>
        <w:tc>
          <w:tcPr>
            <w:tcW w:type="dxa" w:w="5900"/>
            <w:tcBorders>
              <w:top w:val="none" w:color="FFFFFF" w:sz="0"/>
              <w:left w:val="none" w:color="FFFFFF" w:sz="0"/>
              <w:bottom w:val="none" w:color="FFFFFF" w:sz="0"/>
              <w:right w:val="none" w:color="FFFFFF" w:sz="0"/>
            </w:tcBorders>
            <w:shd w:fill="F8F8F8" w:val="clear"/>
            <w:tcMar>
              <w:top w:type="dxa" w:w="50"/>
              <w:left w:type="dxa" w:w="80"/>
              <w:bottom w:type="dxa" w:w="50"/>
              <w:right w:type="dxa" w:w="80"/>
            </w:tcMar>
          </w:tcPr>
          <w:p>
            <w:r>
              <w:rPr>
                <w:rFonts w:ascii="Calibri" w:cs="Calibri" w:eastAsia="Calibri" w:hAnsi="Calibri"/>
                <w:i w:val="false"/>
                <w:iCs w:val="false"/>
                <w:color w:val="1A1A1A"/>
                <w:sz w:val="18"/>
                <w:szCs w:val="18"/>
              </w:rPr>
              <w:t xml:space="preserve">ACCA — Fully Qualified</w:t>
            </w:r>
          </w:p>
        </w:tc>
        <w:tc>
          <w:tcPr>
            <w:tcW w:type="dxa" w:w="3126"/>
            <w:tcBorders>
              <w:top w:val="none" w:color="FFFFFF" w:sz="0"/>
              <w:left w:val="none" w:color="FFFFFF" w:sz="0"/>
              <w:bottom w:val="none" w:color="FFFFFF" w:sz="0"/>
              <w:right w:val="none" w:color="FFFFFF" w:sz="0"/>
            </w:tcBorders>
            <w:shd w:fill="F8F8F8" w:val="clear"/>
            <w:tcMar>
              <w:top w:type="dxa" w:w="50"/>
              <w:left w:type="dxa" w:w="80"/>
              <w:bottom w:type="dxa" w:w="50"/>
              <w:right w:type="dxa" w:w="80"/>
            </w:tcMar>
          </w:tcPr>
          <w:p>
            <w:r>
              <w:rPr>
                <w:rFonts w:ascii="Calibri" w:cs="Calibri" w:eastAsia="Calibri" w:hAnsi="Calibri"/>
                <w:i/>
                <w:iCs/>
                <w:color w:val="999999"/>
                <w:sz w:val="18"/>
                <w:szCs w:val="18"/>
              </w:rPr>
              <w:t xml:space="preserve">2025</w:t>
            </w:r>
          </w:p>
        </w:tc>
      </w:tr>
      <w:tr>
        <w:tc>
          <w:tcPr>
            <w:tcW w:type="dxa" w:w="5900"/>
            <w:tcBorders>
              <w:top w:val="none" w:color="FFFFFF" w:sz="0"/>
              <w:left w:val="none" w:color="FFFFFF" w:sz="0"/>
              <w:bottom w:val="none" w:color="FFFFFF" w:sz="0"/>
              <w:right w:val="none" w:color="FFFFFF" w:sz="0"/>
            </w:tcBorders>
            <w:shd w:fill="FFFFFF" w:val="clear"/>
            <w:tcMar>
              <w:top w:type="dxa" w:w="50"/>
              <w:left w:type="dxa" w:w="80"/>
              <w:bottom w:type="dxa" w:w="50"/>
              <w:right w:type="dxa" w:w="80"/>
            </w:tcMar>
          </w:tcPr>
          <w:p>
            <w:r>
              <w:rPr>
                <w:rFonts w:ascii="Calibri" w:cs="Calibri" w:eastAsia="Calibri" w:hAnsi="Calibri"/>
                <w:i w:val="false"/>
                <w:iCs w:val="false"/>
                <w:color w:val="1A1A1A"/>
                <w:sz w:val="18"/>
                <w:szCs w:val="18"/>
              </w:rPr>
              <w:t xml:space="preserve">Chartered Tax Adviser (CTA) — 4/7 Exams Passed</w:t>
            </w:r>
          </w:p>
        </w:tc>
        <w:tc>
          <w:tcPr>
            <w:tcW w:type="dxa" w:w="3126"/>
            <w:tcBorders>
              <w:top w:val="none" w:color="FFFFFF" w:sz="0"/>
              <w:left w:val="none" w:color="FFFFFF" w:sz="0"/>
              <w:bottom w:val="none" w:color="FFFFFF" w:sz="0"/>
              <w:right w:val="none" w:color="FFFFFF" w:sz="0"/>
            </w:tcBorders>
            <w:shd w:fill="FFFFFF" w:val="clear"/>
            <w:tcMar>
              <w:top w:type="dxa" w:w="50"/>
              <w:left w:type="dxa" w:w="80"/>
              <w:bottom w:type="dxa" w:w="50"/>
              <w:right w:type="dxa" w:w="80"/>
            </w:tcMar>
          </w:tcPr>
          <w:p>
            <w:r>
              <w:rPr>
                <w:rFonts w:ascii="Calibri" w:cs="Calibri" w:eastAsia="Calibri" w:hAnsi="Calibri"/>
                <w:i/>
                <w:iCs/>
                <w:color w:val="999999"/>
                <w:sz w:val="18"/>
                <w:szCs w:val="18"/>
              </w:rPr>
              <w:t xml:space="preserve">In Progress</w:t>
            </w:r>
          </w:p>
        </w:tc>
      </w:tr>
      <w:tr>
        <w:tc>
          <w:tcPr>
            <w:tcW w:type="dxa" w:w="5900"/>
            <w:tcBorders>
              <w:top w:val="none" w:color="FFFFFF" w:sz="0"/>
              <w:left w:val="none" w:color="FFFFFF" w:sz="0"/>
              <w:bottom w:val="none" w:color="FFFFFF" w:sz="0"/>
              <w:right w:val="none" w:color="FFFFFF" w:sz="0"/>
            </w:tcBorders>
            <w:shd w:fill="F8F8F8" w:val="clear"/>
            <w:tcMar>
              <w:top w:type="dxa" w:w="50"/>
              <w:left w:type="dxa" w:w="80"/>
              <w:bottom w:type="dxa" w:w="50"/>
              <w:right w:type="dxa" w:w="80"/>
            </w:tcMar>
          </w:tcPr>
          <w:p>
            <w:r>
              <w:rPr>
                <w:rFonts w:ascii="Calibri" w:cs="Calibri" w:eastAsia="Calibri" w:hAnsi="Calibri"/>
                <w:i w:val="false"/>
                <w:iCs w:val="false"/>
                <w:color w:val="1A1A1A"/>
                <w:sz w:val="18"/>
                <w:szCs w:val="18"/>
              </w:rPr>
              <w:t xml:space="preserve">BA (Hons) Accounting &amp; Financial Management — 2:1, University of Sheffield</w:t>
            </w:r>
          </w:p>
        </w:tc>
        <w:tc>
          <w:tcPr>
            <w:tcW w:type="dxa" w:w="3126"/>
            <w:tcBorders>
              <w:top w:val="none" w:color="FFFFFF" w:sz="0"/>
              <w:left w:val="none" w:color="FFFFFF" w:sz="0"/>
              <w:bottom w:val="none" w:color="FFFFFF" w:sz="0"/>
              <w:right w:val="none" w:color="FFFFFF" w:sz="0"/>
            </w:tcBorders>
            <w:shd w:fill="F8F8F8" w:val="clear"/>
            <w:tcMar>
              <w:top w:type="dxa" w:w="50"/>
              <w:left w:type="dxa" w:w="80"/>
              <w:bottom w:type="dxa" w:w="50"/>
              <w:right w:type="dxa" w:w="80"/>
            </w:tcMar>
          </w:tcPr>
          <w:p>
            <w:r>
              <w:rPr>
                <w:rFonts w:ascii="Calibri" w:cs="Calibri" w:eastAsia="Calibri" w:hAnsi="Calibri"/>
                <w:i/>
                <w:iCs/>
                <w:color w:val="999999"/>
                <w:sz w:val="18"/>
                <w:szCs w:val="18"/>
              </w:rPr>
              <w:t xml:space="preserve">2022</w:t>
            </w:r>
          </w:p>
        </w:tc>
      </w:tr>
      <w:tr>
        <w:tc>
          <w:tcPr>
            <w:tcW w:type="dxa" w:w="5900"/>
            <w:tcBorders>
              <w:top w:val="none" w:color="FFFFFF" w:sz="0"/>
              <w:left w:val="none" w:color="FFFFFF" w:sz="0"/>
              <w:bottom w:val="none" w:color="FFFFFF" w:sz="0"/>
              <w:right w:val="none" w:color="FFFFFF" w:sz="0"/>
            </w:tcBorders>
            <w:shd w:fill="FFFFFF" w:val="clear"/>
            <w:tcMar>
              <w:top w:type="dxa" w:w="50"/>
              <w:left w:type="dxa" w:w="80"/>
              <w:bottom w:type="dxa" w:w="50"/>
              <w:right w:type="dxa" w:w="80"/>
            </w:tcMar>
          </w:tcPr>
          <w:p>
            <w:r>
              <w:rPr>
                <w:rFonts w:ascii="Calibri" w:cs="Calibri" w:eastAsia="Calibri" w:hAnsi="Calibri"/>
                <w:i w:val="false"/>
                <w:iCs w:val="false"/>
                <w:color w:val="1A1A1A"/>
                <w:sz w:val="18"/>
                <w:szCs w:val="18"/>
              </w:rPr>
              <w:t xml:space="preserve">HMFA Level 3 Intermediate Route — How Finance Works in the NHS</w:t>
            </w:r>
          </w:p>
        </w:tc>
        <w:tc>
          <w:tcPr>
            <w:tcW w:type="dxa" w:w="3126"/>
            <w:tcBorders>
              <w:top w:val="none" w:color="FFFFFF" w:sz="0"/>
              <w:left w:val="none" w:color="FFFFFF" w:sz="0"/>
              <w:bottom w:val="none" w:color="FFFFFF" w:sz="0"/>
              <w:right w:val="none" w:color="FFFFFF" w:sz="0"/>
            </w:tcBorders>
            <w:shd w:fill="FFFFFF" w:val="clear"/>
            <w:tcMar>
              <w:top w:type="dxa" w:w="50"/>
              <w:left w:type="dxa" w:w="80"/>
              <w:bottom w:type="dxa" w:w="50"/>
              <w:right w:type="dxa" w:w="80"/>
            </w:tcMar>
          </w:tcPr>
          <w:p>
            <w:r>
              <w:rPr>
                <w:rFonts w:ascii="Calibri" w:cs="Calibri" w:eastAsia="Calibri" w:hAnsi="Calibri"/>
                <w:i/>
                <w:iCs/>
                <w:color w:val="999999"/>
                <w:sz w:val="18"/>
                <w:szCs w:val="18"/>
              </w:rPr>
              <w:t xml:space="preserve">2025</w:t>
            </w:r>
          </w:p>
        </w:tc>
      </w:tr>
    </w:tbl>
    <w:p>
      <w:pPr>
        <w:pBdr>
          <w:top w:val="single" w:color="CCCCCC" w:sz="4" w:space="4"/>
          <w:left w:val="none" w:color="FFFFFF" w:sz="0"/>
          <w:bottom w:val="none" w:color="FFFFFF" w:sz="0"/>
          <w:right w:val="none" w:color="FFFFFF" w:sz="0"/>
        </w:pBdr>
        <w:spacing w:after="60" w:before="220"/>
        <w:jc w:val="center"/>
      </w:pPr>
      <w:r>
        <w:rPr>
          <w:rFonts w:ascii="Calibri" w:cs="Calibri" w:eastAsia="Calibri" w:hAnsi="Calibri"/>
          <w:b/>
          <w:bCs/>
          <w:color w:val="000000"/>
          <w:spacing w:val="40"/>
          <w:sz w:val="20"/>
          <w:szCs w:val="20"/>
        </w:rPr>
        <w:t xml:space="preserve">PUBLICATIONS</w:t>
      </w:r>
    </w:p>
    <w:p>
      <w:pPr>
        <w:pStyle w:val="ListParagraph"/>
        <w:numPr>
          <w:ilvl w:val="0"/>
          <w:numId w:val="2"/>
        </w:numPr>
        <w:spacing w:after="36" w:before="36"/>
      </w:pPr>
      <w:r>
        <w:rPr>
          <w:rFonts w:ascii="Calibri" w:cs="Calibri" w:eastAsia="Calibri" w:hAnsi="Calibri"/>
          <w:color w:val="1A1A1A"/>
          <w:sz w:val="19"/>
          <w:szCs w:val="19"/>
        </w:rPr>
        <w:t xml:space="preserve">"Gulf Finance Markets: Why They Are Becoming Structurally Attractive for UK Professionals" — 2026. mehmoodmahar.com</w:t>
      </w:r>
    </w:p>
    <w:p>
      <w:pPr>
        <w:pStyle w:val="ListParagraph"/>
        <w:numPr>
          <w:ilvl w:val="0"/>
          <w:numId w:val="2"/>
        </w:numPr>
        <w:spacing w:after="36" w:before="36"/>
      </w:pPr>
      <w:r>
        <w:rPr>
          <w:rFonts w:ascii="Calibri" w:cs="Calibri" w:eastAsia="Calibri" w:hAnsi="Calibri"/>
          <w:color w:val="1A1A1A"/>
          <w:sz w:val="19"/>
          <w:szCs w:val="19"/>
        </w:rPr>
        <w:t xml:space="preserve">"Private Equity as a System for Engineering Performance Expansion" — 2026. mehmoodmahar.com</w:t>
      </w:r>
    </w:p>
    <w:p>
      <w:pPr>
        <w:pStyle w:val="ListParagraph"/>
        <w:numPr>
          <w:ilvl w:val="0"/>
          <w:numId w:val="2"/>
        </w:numPr>
        <w:spacing w:after="36" w:before="36"/>
      </w:pPr>
      <w:r>
        <w:rPr>
          <w:rFonts w:ascii="Calibri" w:cs="Calibri" w:eastAsia="Calibri" w:hAnsi="Calibri"/>
          <w:color w:val="1A1A1A"/>
          <w:sz w:val="19"/>
          <w:szCs w:val="19"/>
        </w:rPr>
        <w:t xml:space="preserve">"Fixed Asset Errors and the Distortion of Financial Reality" — 2026. mehmoodmahar.com</w:t>
      </w:r>
    </w:p>
    <w:p>
      <w:pPr>
        <w:pBdr>
          <w:top w:val="single" w:color="CCCCCC" w:sz="4" w:space="4"/>
          <w:left w:val="none" w:color="FFFFFF" w:sz="0"/>
          <w:bottom w:val="none" w:color="FFFFFF" w:sz="0"/>
          <w:right w:val="none" w:color="FFFFFF" w:sz="0"/>
        </w:pBdr>
        <w:spacing w:after="60" w:before="220"/>
        <w:jc w:val="center"/>
      </w:pPr>
      <w:r>
        <w:rPr>
          <w:rFonts w:ascii="Calibri" w:cs="Calibri" w:eastAsia="Calibri" w:hAnsi="Calibri"/>
          <w:b/>
          <w:bCs/>
          <w:color w:val="000000"/>
          <w:spacing w:val="40"/>
          <w:sz w:val="20"/>
          <w:szCs w:val="20"/>
        </w:rPr>
        <w:t xml:space="preserve">TECHNICAL SKILLS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none" w:color="FFFFFF" w:sz="0"/>
              <w:left w:val="none" w:color="FFFFFF" w:sz="0"/>
              <w:bottom w:val="none" w:color="FFFFFF" w:sz="0"/>
              <w:right w:val="none" w:color="FFFFFF" w:sz="0"/>
            </w:tcBorders>
            <w:shd w:fill="FFFFFF" w:val="clear"/>
            <w:tcMar>
              <w:top w:type="dxa" w:w="50"/>
              <w:left w:type="dxa" w:w="80"/>
              <w:bottom w:type="dxa" w:w="50"/>
              <w:right w:type="dxa" w:w="80"/>
            </w:tcMar>
          </w:tcPr>
          <w:p>
            <w:r>
              <w:rPr>
                <w:rFonts w:ascii="Calibri" w:cs="Calibri" w:eastAsia="Calibri" w:hAnsi="Calibri"/>
                <w:b/>
                <w:bCs/>
                <w:color w:val="000000"/>
                <w:sz w:val="18"/>
                <w:szCs w:val="18"/>
              </w:rPr>
              <w:t xml:space="preserve">ERP Systems</w:t>
            </w:r>
          </w:p>
        </w:tc>
        <w:tc>
          <w:tcPr>
            <w:tcW w:type="dxa" w:w="6626"/>
            <w:tcBorders>
              <w:top w:val="none" w:color="FFFFFF" w:sz="0"/>
              <w:left w:val="none" w:color="FFFFFF" w:sz="0"/>
              <w:bottom w:val="none" w:color="FFFFFF" w:sz="0"/>
              <w:right w:val="none" w:color="FFFFFF" w:sz="0"/>
            </w:tcBorders>
            <w:shd w:fill="FFFFFF" w:val="clear"/>
            <w:tcMar>
              <w:top w:type="dxa" w:w="50"/>
              <w:left w:type="dxa" w:w="80"/>
              <w:bottom w:type="dxa" w:w="50"/>
              <w:right w:type="dxa" w:w="80"/>
            </w:tcMar>
          </w:tcPr>
          <w:p>
            <w:r>
              <w:rPr>
                <w:rFonts w:ascii="Calibri" w:cs="Calibri" w:eastAsia="Calibri" w:hAnsi="Calibri"/>
                <w:b w:val="false"/>
                <w:bCs w:val="false"/>
                <w:color w:val="4A4A4A"/>
                <w:sz w:val="18"/>
                <w:szCs w:val="18"/>
              </w:rPr>
              <w:t xml:space="preserve">Oracle Fusion ERP  ·  FMIS  ·  Xero  ·  Sage  ·  TallyPrime  ·  Zoho Books</w:t>
            </w:r>
          </w:p>
        </w:tc>
      </w:tr>
      <w:tr>
        <w:tc>
          <w:tcPr>
            <w:tcW w:type="dxa" w:w="2400"/>
            <w:tcBorders>
              <w:top w:val="none" w:color="FFFFFF" w:sz="0"/>
              <w:left w:val="none" w:color="FFFFFF" w:sz="0"/>
              <w:bottom w:val="none" w:color="FFFFFF" w:sz="0"/>
              <w:right w:val="none" w:color="FFFFFF" w:sz="0"/>
            </w:tcBorders>
            <w:shd w:fill="F8F8F8" w:val="clear"/>
            <w:tcMar>
              <w:top w:type="dxa" w:w="50"/>
              <w:left w:type="dxa" w:w="80"/>
              <w:bottom w:type="dxa" w:w="50"/>
              <w:right w:type="dxa" w:w="80"/>
            </w:tcMar>
          </w:tcPr>
          <w:p>
            <w:r>
              <w:rPr>
                <w:rFonts w:ascii="Calibri" w:cs="Calibri" w:eastAsia="Calibri" w:hAnsi="Calibri"/>
                <w:b/>
                <w:bCs/>
                <w:color w:val="000000"/>
                <w:sz w:val="18"/>
                <w:szCs w:val="18"/>
              </w:rPr>
              <w:t xml:space="preserve">Financial Reporting</w:t>
            </w:r>
          </w:p>
        </w:tc>
        <w:tc>
          <w:tcPr>
            <w:tcW w:type="dxa" w:w="6626"/>
            <w:tcBorders>
              <w:top w:val="none" w:color="FFFFFF" w:sz="0"/>
              <w:left w:val="none" w:color="FFFFFF" w:sz="0"/>
              <w:bottom w:val="none" w:color="FFFFFF" w:sz="0"/>
              <w:right w:val="none" w:color="FFFFFF" w:sz="0"/>
            </w:tcBorders>
            <w:shd w:fill="F8F8F8" w:val="clear"/>
            <w:tcMar>
              <w:top w:type="dxa" w:w="50"/>
              <w:left w:type="dxa" w:w="80"/>
              <w:bottom w:type="dxa" w:w="50"/>
              <w:right w:type="dxa" w:w="80"/>
            </w:tcMar>
          </w:tcPr>
          <w:p>
            <w:r>
              <w:rPr>
                <w:rFonts w:ascii="Calibri" w:cs="Calibri" w:eastAsia="Calibri" w:hAnsi="Calibri"/>
                <w:b w:val="false"/>
                <w:bCs w:val="false"/>
                <w:color w:val="4A4A4A"/>
                <w:sz w:val="18"/>
                <w:szCs w:val="18"/>
              </w:rPr>
              <w:t xml:space="preserve">IFRS (full suite)  ·  UK GAAP  ·  Charities SORP  ·  Statutory Accounts  ·  Management Accounts</w:t>
            </w:r>
          </w:p>
        </w:tc>
      </w:tr>
      <w:tr>
        <w:tc>
          <w:tcPr>
            <w:tcW w:type="dxa" w:w="2400"/>
            <w:tcBorders>
              <w:top w:val="none" w:color="FFFFFF" w:sz="0"/>
              <w:left w:val="none" w:color="FFFFFF" w:sz="0"/>
              <w:bottom w:val="none" w:color="FFFFFF" w:sz="0"/>
              <w:right w:val="none" w:color="FFFFFF" w:sz="0"/>
            </w:tcBorders>
            <w:shd w:fill="FFFFFF" w:val="clear"/>
            <w:tcMar>
              <w:top w:type="dxa" w:w="50"/>
              <w:left w:type="dxa" w:w="80"/>
              <w:bottom w:type="dxa" w:w="50"/>
              <w:right w:type="dxa" w:w="80"/>
            </w:tcMar>
          </w:tcPr>
          <w:p>
            <w:r>
              <w:rPr>
                <w:rFonts w:ascii="Calibri" w:cs="Calibri" w:eastAsia="Calibri" w:hAnsi="Calibri"/>
                <w:b/>
                <w:bCs/>
                <w:color w:val="000000"/>
                <w:sz w:val="18"/>
                <w:szCs w:val="18"/>
              </w:rPr>
              <w:t xml:space="preserve">Analytics &amp; Data</w:t>
            </w:r>
          </w:p>
        </w:tc>
        <w:tc>
          <w:tcPr>
            <w:tcW w:type="dxa" w:w="6626"/>
            <w:tcBorders>
              <w:top w:val="none" w:color="FFFFFF" w:sz="0"/>
              <w:left w:val="none" w:color="FFFFFF" w:sz="0"/>
              <w:bottom w:val="none" w:color="FFFFFF" w:sz="0"/>
              <w:right w:val="none" w:color="FFFFFF" w:sz="0"/>
            </w:tcBorders>
            <w:shd w:fill="FFFFFF" w:val="clear"/>
            <w:tcMar>
              <w:top w:type="dxa" w:w="50"/>
              <w:left w:type="dxa" w:w="80"/>
              <w:bottom w:type="dxa" w:w="50"/>
              <w:right w:type="dxa" w:w="80"/>
            </w:tcMar>
          </w:tcPr>
          <w:p>
            <w:r>
              <w:rPr>
                <w:rFonts w:ascii="Calibri" w:cs="Calibri" w:eastAsia="Calibri" w:hAnsi="Calibri"/>
                <w:b w:val="false"/>
                <w:bCs w:val="false"/>
                <w:color w:val="4A4A4A"/>
                <w:sz w:val="18"/>
                <w:szCs w:val="18"/>
              </w:rPr>
              <w:t xml:space="preserve">Advanced Excel  ·  Power BI (developing)  ·  SQL/MySQL  ·  Python (developing)</w:t>
            </w:r>
          </w:p>
        </w:tc>
      </w:tr>
      <w:tr>
        <w:tc>
          <w:tcPr>
            <w:tcW w:type="dxa" w:w="2400"/>
            <w:tcBorders>
              <w:top w:val="none" w:color="FFFFFF" w:sz="0"/>
              <w:left w:val="none" w:color="FFFFFF" w:sz="0"/>
              <w:bottom w:val="none" w:color="FFFFFF" w:sz="0"/>
              <w:right w:val="none" w:color="FFFFFF" w:sz="0"/>
            </w:tcBorders>
            <w:shd w:fill="F8F8F8" w:val="clear"/>
            <w:tcMar>
              <w:top w:type="dxa" w:w="50"/>
              <w:left w:type="dxa" w:w="80"/>
              <w:bottom w:type="dxa" w:w="50"/>
              <w:right w:type="dxa" w:w="80"/>
            </w:tcMar>
          </w:tcPr>
          <w:p>
            <w:r>
              <w:rPr>
                <w:rFonts w:ascii="Calibri" w:cs="Calibri" w:eastAsia="Calibri" w:hAnsi="Calibri"/>
                <w:b/>
                <w:bCs/>
                <w:color w:val="000000"/>
                <w:sz w:val="18"/>
                <w:szCs w:val="18"/>
              </w:rPr>
              <w:t xml:space="preserve">Corporate Finance</w:t>
            </w:r>
          </w:p>
        </w:tc>
        <w:tc>
          <w:tcPr>
            <w:tcW w:type="dxa" w:w="6626"/>
            <w:tcBorders>
              <w:top w:val="none" w:color="FFFFFF" w:sz="0"/>
              <w:left w:val="none" w:color="FFFFFF" w:sz="0"/>
              <w:bottom w:val="none" w:color="FFFFFF" w:sz="0"/>
              <w:right w:val="none" w:color="FFFFFF" w:sz="0"/>
            </w:tcBorders>
            <w:shd w:fill="F8F8F8" w:val="clear"/>
            <w:tcMar>
              <w:top w:type="dxa" w:w="50"/>
              <w:left w:type="dxa" w:w="80"/>
              <w:bottom w:type="dxa" w:w="50"/>
              <w:right w:type="dxa" w:w="80"/>
            </w:tcMar>
          </w:tcPr>
          <w:p>
            <w:r>
              <w:rPr>
                <w:rFonts w:ascii="Calibri" w:cs="Calibri" w:eastAsia="Calibri" w:hAnsi="Calibri"/>
                <w:b w:val="false"/>
                <w:bCs w:val="false"/>
                <w:color w:val="4A4A4A"/>
                <w:sz w:val="18"/>
                <w:szCs w:val="18"/>
              </w:rPr>
              <w:t xml:space="preserve">LBO Modelling  ·  DCF/WACC Valuation  ·  FP&amp;A  ·  Forensic Analysis  ·  Strategic Advisory</w:t>
            </w:r>
          </w:p>
        </w:tc>
      </w:tr>
      <w:tr>
        <w:tc>
          <w:tcPr>
            <w:tcW w:type="dxa" w:w="2400"/>
            <w:tcBorders>
              <w:top w:val="none" w:color="FFFFFF" w:sz="0"/>
              <w:left w:val="none" w:color="FFFFFF" w:sz="0"/>
              <w:bottom w:val="none" w:color="FFFFFF" w:sz="0"/>
              <w:right w:val="none" w:color="FFFFFF" w:sz="0"/>
            </w:tcBorders>
            <w:shd w:fill="FFFFFF" w:val="clear"/>
            <w:tcMar>
              <w:top w:type="dxa" w:w="50"/>
              <w:left w:type="dxa" w:w="80"/>
              <w:bottom w:type="dxa" w:w="50"/>
              <w:right w:type="dxa" w:w="80"/>
            </w:tcMar>
          </w:tcPr>
          <w:p>
            <w:r>
              <w:rPr>
                <w:rFonts w:ascii="Calibri" w:cs="Calibri" w:eastAsia="Calibri" w:hAnsi="Calibri"/>
                <w:b/>
                <w:bCs/>
                <w:color w:val="000000"/>
                <w:sz w:val="18"/>
                <w:szCs w:val="18"/>
              </w:rPr>
              <w:t xml:space="preserve">Tax &amp; Compliance</w:t>
            </w:r>
          </w:p>
        </w:tc>
        <w:tc>
          <w:tcPr>
            <w:tcW w:type="dxa" w:w="6626"/>
            <w:tcBorders>
              <w:top w:val="none" w:color="FFFFFF" w:sz="0"/>
              <w:left w:val="none" w:color="FFFFFF" w:sz="0"/>
              <w:bottom w:val="none" w:color="FFFFFF" w:sz="0"/>
              <w:right w:val="none" w:color="FFFFFF" w:sz="0"/>
            </w:tcBorders>
            <w:shd w:fill="FFFFFF" w:val="clear"/>
            <w:tcMar>
              <w:top w:type="dxa" w:w="50"/>
              <w:left w:type="dxa" w:w="80"/>
              <w:bottom w:type="dxa" w:w="50"/>
              <w:right w:type="dxa" w:w="80"/>
            </w:tcMar>
          </w:tcPr>
          <w:p>
            <w:r>
              <w:rPr>
                <w:rFonts w:ascii="Calibri" w:cs="Calibri" w:eastAsia="Calibri" w:hAnsi="Calibri"/>
                <w:b w:val="false"/>
                <w:bCs w:val="false"/>
                <w:color w:val="4A4A4A"/>
                <w:sz w:val="18"/>
                <w:szCs w:val="18"/>
              </w:rPr>
              <w:t xml:space="preserve">UAE VAT &amp; Corporate Tax  ·  UK VAT  ·  CIS  ·  PAYE/NIC  ·  IFRS S1/S2  ·  GRI Standards</w:t>
            </w:r>
          </w:p>
        </w:tc>
      </w:tr>
    </w:tbl>
    <w:p>
      <w:pPr>
        <w:pBdr>
          <w:top w:val="single" w:color="CCCCCC" w:sz="4" w:space="4"/>
          <w:left w:val="none" w:color="FFFFFF" w:sz="0"/>
          <w:bottom w:val="none" w:color="FFFFFF" w:sz="0"/>
          <w:right w:val="none" w:color="FFFFFF" w:sz="0"/>
        </w:pBdr>
        <w:spacing w:after="60" w:before="220"/>
        <w:jc w:val="center"/>
      </w:pPr>
      <w:r>
        <w:rPr>
          <w:rFonts w:ascii="Calibri" w:cs="Calibri" w:eastAsia="Calibri" w:hAnsi="Calibri"/>
          <w:b/>
          <w:bCs/>
          <w:color w:val="000000"/>
          <w:spacing w:val="40"/>
          <w:sz w:val="20"/>
          <w:szCs w:val="20"/>
        </w:rPr>
        <w:t xml:space="preserve">CERTIFICATIONS</w:t>
      </w:r>
    </w:p>
    <w:p>
      <w:pPr>
        <w:spacing w:after="22" w:before="40"/>
      </w:pPr>
      <w:r>
        <w:rPr>
          <w:rFonts w:ascii="Calibri" w:cs="Calibri" w:eastAsia="Calibri" w:hAnsi="Calibri"/>
          <w:b/>
          <w:bCs/>
          <w:color w:val="000000"/>
          <w:sz w:val="18"/>
          <w:szCs w:val="18"/>
        </w:rPr>
        <w:t xml:space="preserve">Completed:  </w:t>
      </w:r>
      <w:r>
        <w:rPr>
          <w:rFonts w:ascii="Calibri" w:cs="Calibri" w:eastAsia="Calibri" w:hAnsi="Calibri"/>
          <w:color w:val="4A4A4A"/>
          <w:sz w:val="18"/>
          <w:szCs w:val="18"/>
        </w:rPr>
        <w:t xml:space="preserve">Xero Advisor Certified  ·  Xero Tax Specialist  ·  Xero Payroll  ·  Sage Business Cloud Certified  ·  UK Tax — HMRC, Corporation Tax &amp; Self-Assessment (Reeds)  ·  NHS Finance Basics &amp; Widening NHS Finance Skills (SDN, 2025)</w:t>
      </w:r>
    </w:p>
    <w:p>
      <w:pPr>
        <w:spacing w:after="50" w:before="22"/>
      </w:pPr>
      <w:r>
        <w:rPr>
          <w:rFonts w:ascii="Calibri" w:cs="Calibri" w:eastAsia="Calibri" w:hAnsi="Calibri"/>
          <w:b/>
          <w:bCs/>
          <w:color w:val="000000"/>
          <w:sz w:val="18"/>
          <w:szCs w:val="18"/>
        </w:rPr>
        <w:t xml:space="preserve">In Progress:  </w:t>
      </w:r>
      <w:r>
        <w:rPr>
          <w:rFonts w:ascii="Calibri" w:cs="Calibri" w:eastAsia="Calibri" w:hAnsi="Calibri"/>
          <w:color w:val="4A4A4A"/>
          <w:sz w:val="18"/>
          <w:szCs w:val="18"/>
        </w:rPr>
        <w:t xml:space="preserve">Microsoft Power BI PL-300  ·  MOS Expert Excel MO-201  ·  UAE Corporate Tax Certificate</w:t>
      </w:r>
    </w:p>
    <w:p>
      <w:pPr>
        <w:pBdr>
          <w:top w:val="single" w:color="CCCCCC" w:sz="4" w:space="4"/>
          <w:left w:val="none" w:color="FFFFFF" w:sz="0"/>
          <w:bottom w:val="none" w:color="FFFFFF" w:sz="0"/>
          <w:right w:val="none" w:color="FFFFFF" w:sz="0"/>
        </w:pBdr>
        <w:spacing w:after="60" w:before="220"/>
        <w:jc w:val="center"/>
      </w:pPr>
      <w:r>
        <w:rPr>
          <w:rFonts w:ascii="Calibri" w:cs="Calibri" w:eastAsia="Calibri" w:hAnsi="Calibri"/>
          <w:b/>
          <w:bCs/>
          <w:color w:val="000000"/>
          <w:spacing w:val="40"/>
          <w:sz w:val="20"/>
          <w:szCs w:val="20"/>
        </w:rPr>
        <w:t xml:space="preserve">KEY COMPETENCIES</w:t>
      </w:r>
    </w:p>
    <w:p>
      <w:pPr>
        <w:spacing w:after="45" w:before="45"/>
        <w:jc w:val="center"/>
      </w:pPr>
      <w:r>
        <w:rPr>
          <w:rFonts w:ascii="Calibri" w:cs="Calibri" w:eastAsia="Calibri" w:hAnsi="Calibri"/>
          <w:color w:val="4A4A4A"/>
          <w:sz w:val="18"/>
          <w:szCs w:val="18"/>
        </w:rPr>
        <w:t xml:space="preserve">Fixed Asset Accounting &amp; IFRS 16  ·  Month-End Close &amp; Financial Reporting  ·  Internal Controls &amp; Audit Support</w:t>
      </w:r>
      <w:r>
        <w:rPr>
          <w:rFonts w:ascii="Calibri" w:cs="Calibri" w:eastAsia="Calibri" w:hAnsi="Calibri"/>
          <w:sz w:val="18"/>
          <w:szCs w:val="18"/>
        </w:rPr>
        <w:br/>
        <w:t xml:space="preserve">
</w:t>
      </w:r>
      <w:r>
        <w:rPr>
          <w:rFonts w:ascii="Calibri" w:cs="Calibri" w:eastAsia="Calibri" w:hAnsi="Calibri"/>
          <w:color w:val="4A4A4A"/>
          <w:sz w:val="18"/>
          <w:szCs w:val="18"/>
        </w:rPr>
        <w:t xml:space="preserve">Financial Modelling &amp; Valuation  ·  Management Accounts &amp; Budgeting  ·  Stakeholder Management</w:t>
      </w:r>
      <w:r>
        <w:rPr>
          <w:rFonts w:ascii="Calibri" w:cs="Calibri" w:eastAsia="Calibri" w:hAnsi="Calibri"/>
          <w:sz w:val="18"/>
          <w:szCs w:val="18"/>
        </w:rPr>
        <w:br/>
        <w:t xml:space="preserve">
</w:t>
      </w:r>
      <w:r>
        <w:rPr>
          <w:rFonts w:ascii="Calibri" w:cs="Calibri" w:eastAsia="Calibri" w:hAnsi="Calibri"/>
          <w:color w:val="4A4A4A"/>
          <w:sz w:val="18"/>
          <w:szCs w:val="18"/>
        </w:rPr>
        <w:t xml:space="preserve">ESG &amp; Governance Advisory  ·  Process Improvement &amp; SOP Design  ·  Team Leadership &amp; Mentoring</w:t>
      </w:r>
    </w:p>
    <w:p>
      <w:pPr>
        <w:pBdr>
          <w:top w:val="single" w:color="CCCCCC" w:sz="4" w:space="4"/>
          <w:left w:val="none" w:color="FFFFFF" w:sz="0"/>
          <w:bottom w:val="none" w:color="FFFFFF" w:sz="0"/>
          <w:right w:val="none" w:color="FFFFFF" w:sz="0"/>
        </w:pBdr>
        <w:spacing w:after="60" w:before="220"/>
        <w:jc w:val="center"/>
      </w:pPr>
      <w:r>
        <w:rPr>
          <w:rFonts w:ascii="Calibri" w:cs="Calibri" w:eastAsia="Calibri" w:hAnsi="Calibri"/>
          <w:b/>
          <w:bCs/>
          <w:color w:val="000000"/>
          <w:spacing w:val="40"/>
          <w:sz w:val="20"/>
          <w:szCs w:val="20"/>
        </w:rPr>
        <w:t xml:space="preserve">LANGUAGES</w:t>
      </w:r>
    </w:p>
    <w:p>
      <w:pPr>
        <w:spacing w:after="40" w:before="45"/>
        <w:jc w:val="center"/>
      </w:pPr>
      <w:r>
        <w:rPr>
          <w:rFonts w:ascii="Calibri" w:cs="Calibri" w:eastAsia="Calibri" w:hAnsi="Calibri"/>
          <w:color w:val="4A4A4A"/>
          <w:sz w:val="18"/>
          <w:szCs w:val="18"/>
        </w:rPr>
        <w:t xml:space="preserve">English (Fluent — Professional)   ·   Urdu (Native)   ·   Arabic (Basic — Developing)</w:t>
      </w:r>
    </w:p>
    <w:sectPr>
      <w:pgSz w:w="11906" w:h="16838" w:orient="portrait"/>
      <w:pgMar w:top="800" w:right="960" w:bottom="800" w:left="9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2026-07-01T13:37:49.094Z</dcterms:created>
  <dcterms:modified xsi:type="dcterms:W3CDTF">2026-07-01T13:37:49.094Z</dcterms:modified>
</cp:coreProperties>
</file>

<file path=docProps/custom.xml><?xml version="1.0" encoding="utf-8"?>
<Properties xmlns="http://schemas.openxmlformats.org/officeDocument/2006/custom-properties" xmlns:vt="http://schemas.openxmlformats.org/officeDocument/2006/docPropsVTypes"/>
</file>